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255499">
        <w:rPr>
          <w:rFonts w:ascii="Times New Roman" w:hAnsi="Times New Roman"/>
          <w:i w:val="0"/>
        </w:rPr>
        <w:t>34-о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255499">
        <w:rPr>
          <w:b w:val="0"/>
          <w:sz w:val="28"/>
          <w:szCs w:val="28"/>
          <w:lang w:eastAsia="ru-RU"/>
        </w:rPr>
        <w:t>22</w:t>
      </w:r>
      <w:r w:rsidRPr="003637AF">
        <w:rPr>
          <w:b w:val="0"/>
          <w:sz w:val="28"/>
          <w:szCs w:val="28"/>
          <w:lang w:eastAsia="ru-RU"/>
        </w:rPr>
        <w:t>»</w:t>
      </w:r>
      <w:r w:rsidR="009C05A5">
        <w:rPr>
          <w:b w:val="0"/>
          <w:sz w:val="28"/>
          <w:szCs w:val="28"/>
          <w:lang w:eastAsia="ru-RU"/>
        </w:rPr>
        <w:t xml:space="preserve"> </w:t>
      </w:r>
      <w:r w:rsidR="005B0DF4">
        <w:rPr>
          <w:b w:val="0"/>
          <w:sz w:val="28"/>
          <w:szCs w:val="28"/>
          <w:lang w:eastAsia="ru-RU"/>
        </w:rPr>
        <w:tab/>
      </w:r>
      <w:r w:rsidR="00255499">
        <w:rPr>
          <w:b w:val="0"/>
          <w:sz w:val="28"/>
          <w:szCs w:val="28"/>
          <w:lang w:eastAsia="ru-RU"/>
        </w:rPr>
        <w:t>мая</w:t>
      </w:r>
      <w:r w:rsidR="00884194">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bookmarkStart w:id="0" w:name="_GoBack"/>
      <w:bookmarkEnd w:id="0"/>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Default="00955E47" w:rsidP="00F933E0">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AE5EE9" w:rsidRPr="00AE5EE9" w:rsidRDefault="00AE5EE9" w:rsidP="00AE5EE9">
      <w:pPr>
        <w:tabs>
          <w:tab w:val="left" w:pos="0"/>
          <w:tab w:val="left" w:pos="284"/>
        </w:tabs>
        <w:suppressAutoHyphens/>
        <w:snapToGrid w:val="0"/>
        <w:spacing w:line="276" w:lineRule="auto"/>
        <w:jc w:val="both"/>
        <w:rPr>
          <w:sz w:val="28"/>
          <w:szCs w:val="28"/>
          <w:lang w:eastAsia="ar-SA"/>
        </w:rPr>
      </w:pPr>
      <w:r>
        <w:rPr>
          <w:sz w:val="28"/>
          <w:szCs w:val="28"/>
          <w:lang w:eastAsia="ar-SA"/>
        </w:rPr>
        <w:tab/>
      </w:r>
      <w:r>
        <w:rPr>
          <w:sz w:val="28"/>
          <w:szCs w:val="28"/>
          <w:lang w:eastAsia="ar-SA"/>
        </w:rPr>
        <w:tab/>
      </w:r>
      <w:r w:rsidRPr="00AE5EE9">
        <w:rPr>
          <w:sz w:val="28"/>
          <w:szCs w:val="28"/>
          <w:lang w:eastAsia="ar-SA"/>
        </w:rPr>
        <w:t xml:space="preserve">1.1. В приложении </w:t>
      </w:r>
      <w:r w:rsidRPr="00AE5EE9">
        <w:rPr>
          <w:sz w:val="28"/>
          <w:szCs w:val="28"/>
        </w:rPr>
        <w:t>№2 «Коды универсальных направлений расходов, увязанных с программными (непрограммными) целевыми статьями расходов бюджета муниципального образования «Город Майкоп»»</w:t>
      </w:r>
      <w:r w:rsidRPr="00AE5EE9">
        <w:rPr>
          <w:sz w:val="28"/>
          <w:szCs w:val="28"/>
          <w:lang w:eastAsia="ar-SA"/>
        </w:rPr>
        <w:t xml:space="preserve"> строк</w:t>
      </w:r>
      <w:r>
        <w:rPr>
          <w:sz w:val="28"/>
          <w:szCs w:val="28"/>
          <w:lang w:eastAsia="ar-SA"/>
        </w:rPr>
        <w:t>у</w:t>
      </w:r>
      <w:r w:rsidRPr="00AE5EE9">
        <w:rPr>
          <w:sz w:val="28"/>
          <w:szCs w:val="28"/>
          <w:lang w:eastAsia="ar-SA"/>
        </w:rPr>
        <w:t>:</w:t>
      </w:r>
    </w:p>
    <w:p w:rsidR="00AE5EE9" w:rsidRDefault="00AE5EE9" w:rsidP="00AE5EE9">
      <w:pPr>
        <w:tabs>
          <w:tab w:val="left" w:pos="142"/>
          <w:tab w:val="left" w:pos="284"/>
        </w:tabs>
        <w:suppressAutoHyphens/>
        <w:snapToGrid w:val="0"/>
        <w:spacing w:line="276" w:lineRule="auto"/>
        <w:ind w:right="-285"/>
        <w:jc w:val="both"/>
        <w:rPr>
          <w:sz w:val="28"/>
          <w:szCs w:val="28"/>
          <w:lang w:eastAsia="ar-SA"/>
        </w:rPr>
      </w:pPr>
      <w:r w:rsidRPr="00AE5EE9">
        <w:rPr>
          <w:sz w:val="28"/>
          <w:szCs w:val="28"/>
          <w:lang w:eastAsia="ar-SA"/>
        </w:rPr>
        <w:t>«</w:t>
      </w:r>
      <w:r w:rsidRPr="00AE5EE9">
        <w:rPr>
          <w:sz w:val="28"/>
          <w:szCs w:val="28"/>
          <w:lang w:eastAsia="ar-SA"/>
        </w:rPr>
        <w:tab/>
      </w:r>
    </w:p>
    <w:tbl>
      <w:tblPr>
        <w:tblW w:w="9087" w:type="dxa"/>
        <w:tblInd w:w="93" w:type="dxa"/>
        <w:tblLook w:val="04A0" w:firstRow="1" w:lastRow="0" w:firstColumn="1" w:lastColumn="0" w:noHBand="0" w:noVBand="1"/>
      </w:tblPr>
      <w:tblGrid>
        <w:gridCol w:w="866"/>
        <w:gridCol w:w="8221"/>
      </w:tblGrid>
      <w:tr w:rsidR="00AE5EE9" w:rsidTr="009E4C07">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AE5EE9" w:rsidRPr="00930071" w:rsidRDefault="00AE5EE9" w:rsidP="000753DA">
            <w:r w:rsidRPr="00AE5EE9">
              <w:rPr>
                <w:lang w:val="en-US"/>
              </w:rPr>
              <w:t>S5501</w:t>
            </w:r>
          </w:p>
        </w:tc>
        <w:tc>
          <w:tcPr>
            <w:tcW w:w="8221" w:type="dxa"/>
            <w:tcBorders>
              <w:top w:val="single" w:sz="4" w:space="0" w:color="auto"/>
              <w:left w:val="nil"/>
              <w:bottom w:val="single" w:sz="4" w:space="0" w:color="auto"/>
              <w:right w:val="single" w:sz="4" w:space="0" w:color="auto"/>
            </w:tcBorders>
            <w:shd w:val="clear" w:color="auto" w:fill="auto"/>
            <w:vAlign w:val="center"/>
          </w:tcPr>
          <w:p w:rsidR="00AE5EE9" w:rsidRDefault="007F2717" w:rsidP="00AE5EE9">
            <w:pPr>
              <w:jc w:val="both"/>
            </w:pPr>
            <w:r w:rsidRPr="007F2717">
              <w:t>Частичная компенсация расходов на повышение оплаты труда работников бюджетной сферы (за счет средств местного бюджета)</w:t>
            </w:r>
          </w:p>
        </w:tc>
      </w:tr>
    </w:tbl>
    <w:p w:rsidR="00AE5EE9" w:rsidRDefault="00AE5EE9" w:rsidP="00AE5EE9">
      <w:pPr>
        <w:tabs>
          <w:tab w:val="left" w:pos="142"/>
          <w:tab w:val="left" w:pos="284"/>
        </w:tabs>
        <w:suppressAutoHyphens/>
        <w:snapToGrid w:val="0"/>
        <w:spacing w:line="276" w:lineRule="auto"/>
        <w:ind w:right="-1"/>
        <w:jc w:val="right"/>
        <w:rPr>
          <w:sz w:val="28"/>
          <w:szCs w:val="28"/>
          <w:lang w:eastAsia="ar-SA"/>
        </w:rPr>
      </w:pPr>
      <w:r>
        <w:rPr>
          <w:sz w:val="28"/>
          <w:szCs w:val="28"/>
          <w:lang w:eastAsia="ar-SA"/>
        </w:rPr>
        <w:t>»</w:t>
      </w:r>
    </w:p>
    <w:p w:rsidR="007F2717" w:rsidRPr="007F2717" w:rsidRDefault="007F2717" w:rsidP="007F2717">
      <w:pPr>
        <w:tabs>
          <w:tab w:val="left" w:pos="142"/>
          <w:tab w:val="left" w:pos="284"/>
        </w:tabs>
        <w:suppressAutoHyphens/>
        <w:snapToGrid w:val="0"/>
        <w:spacing w:line="276" w:lineRule="auto"/>
        <w:jc w:val="both"/>
        <w:rPr>
          <w:sz w:val="28"/>
          <w:szCs w:val="28"/>
          <w:lang w:eastAsia="ar-SA"/>
        </w:rPr>
      </w:pPr>
      <w:r w:rsidRPr="007F2717">
        <w:rPr>
          <w:sz w:val="28"/>
          <w:szCs w:val="28"/>
          <w:lang w:eastAsia="ar-SA"/>
        </w:rPr>
        <w:t>изложить в следующей редакции:</w:t>
      </w:r>
    </w:p>
    <w:p w:rsidR="007F2717" w:rsidRPr="007F2717" w:rsidRDefault="007F2717" w:rsidP="007F2717">
      <w:pPr>
        <w:tabs>
          <w:tab w:val="left" w:pos="142"/>
          <w:tab w:val="left" w:pos="284"/>
        </w:tabs>
        <w:suppressAutoHyphens/>
        <w:snapToGrid w:val="0"/>
        <w:spacing w:line="276" w:lineRule="auto"/>
        <w:contextualSpacing/>
        <w:jc w:val="both"/>
        <w:rPr>
          <w:sz w:val="28"/>
          <w:szCs w:val="28"/>
          <w:lang w:eastAsia="ar-SA"/>
        </w:rPr>
      </w:pPr>
      <w:r w:rsidRPr="007F2717">
        <w:rPr>
          <w:sz w:val="28"/>
          <w:szCs w:val="28"/>
          <w:lang w:eastAsia="ar-SA"/>
        </w:rPr>
        <w:t>«</w:t>
      </w:r>
    </w:p>
    <w:tbl>
      <w:tblPr>
        <w:tblW w:w="9087" w:type="dxa"/>
        <w:tblInd w:w="93" w:type="dxa"/>
        <w:tblLook w:val="04A0" w:firstRow="1" w:lastRow="0" w:firstColumn="1" w:lastColumn="0" w:noHBand="0" w:noVBand="1"/>
      </w:tblPr>
      <w:tblGrid>
        <w:gridCol w:w="1008"/>
        <w:gridCol w:w="8079"/>
      </w:tblGrid>
      <w:tr w:rsidR="007F2717" w:rsidRPr="007F2717" w:rsidTr="00016E02">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7F2717" w:rsidRPr="007F2717" w:rsidRDefault="007F2717" w:rsidP="007F2717">
            <w:r w:rsidRPr="00AE5EE9">
              <w:rPr>
                <w:lang w:val="en-US"/>
              </w:rPr>
              <w:t>S5501</w:t>
            </w:r>
          </w:p>
        </w:tc>
        <w:tc>
          <w:tcPr>
            <w:tcW w:w="8079" w:type="dxa"/>
            <w:tcBorders>
              <w:top w:val="single" w:sz="4" w:space="0" w:color="auto"/>
              <w:left w:val="nil"/>
              <w:bottom w:val="single" w:sz="4" w:space="0" w:color="auto"/>
              <w:right w:val="single" w:sz="4" w:space="0" w:color="auto"/>
            </w:tcBorders>
            <w:shd w:val="clear" w:color="auto" w:fill="auto"/>
          </w:tcPr>
          <w:p w:rsidR="007F2717" w:rsidRPr="007F2717" w:rsidRDefault="007F2717" w:rsidP="007F2717">
            <w:pPr>
              <w:jc w:val="both"/>
            </w:pPr>
            <w:r w:rsidRPr="007F2717">
              <w:t>Частичная компенсация расходов на повышение оплаты тр</w:t>
            </w:r>
            <w:r>
              <w:t xml:space="preserve">уда работников бюджетной сферы </w:t>
            </w:r>
          </w:p>
        </w:tc>
      </w:tr>
    </w:tbl>
    <w:p w:rsidR="00AE5EE9" w:rsidRPr="00AE5EE9" w:rsidRDefault="007F2717" w:rsidP="007F2717">
      <w:pPr>
        <w:tabs>
          <w:tab w:val="left" w:pos="142"/>
          <w:tab w:val="left" w:pos="284"/>
        </w:tabs>
        <w:suppressAutoHyphens/>
        <w:snapToGrid w:val="0"/>
        <w:spacing w:line="276" w:lineRule="auto"/>
        <w:ind w:right="-568"/>
        <w:jc w:val="both"/>
        <w:rPr>
          <w:sz w:val="28"/>
          <w:szCs w:val="28"/>
          <w:lang w:eastAsia="ar-SA"/>
        </w:rPr>
      </w:pP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r>
      <w:r w:rsidRPr="007F2717">
        <w:rPr>
          <w:sz w:val="28"/>
          <w:szCs w:val="28"/>
          <w:lang w:eastAsia="ar-SA"/>
        </w:rPr>
        <w:tab/>
        <w:t xml:space="preserve">      ».</w:t>
      </w:r>
    </w:p>
    <w:p w:rsidR="00D80A56" w:rsidRDefault="006C0AD6" w:rsidP="00F933E0">
      <w:pPr>
        <w:tabs>
          <w:tab w:val="left" w:pos="0"/>
          <w:tab w:val="left" w:pos="284"/>
        </w:tabs>
        <w:suppressAutoHyphens/>
        <w:snapToGrid w:val="0"/>
        <w:jc w:val="both"/>
        <w:rPr>
          <w:sz w:val="28"/>
          <w:szCs w:val="28"/>
          <w:lang w:eastAsia="ar-SA"/>
        </w:rPr>
      </w:pPr>
      <w:r>
        <w:rPr>
          <w:sz w:val="28"/>
          <w:szCs w:val="28"/>
          <w:lang w:eastAsia="ar-SA"/>
        </w:rPr>
        <w:lastRenderedPageBreak/>
        <w:tab/>
      </w:r>
      <w:r>
        <w:rPr>
          <w:sz w:val="28"/>
          <w:szCs w:val="28"/>
          <w:lang w:eastAsia="ar-SA"/>
        </w:rPr>
        <w:tab/>
        <w:t>1.</w:t>
      </w:r>
      <w:r w:rsidR="00AE5EE9">
        <w:rPr>
          <w:sz w:val="28"/>
          <w:szCs w:val="28"/>
          <w:lang w:eastAsia="ar-SA"/>
        </w:rPr>
        <w:t>2</w:t>
      </w:r>
      <w:r>
        <w:rPr>
          <w:sz w:val="28"/>
          <w:szCs w:val="28"/>
          <w:lang w:eastAsia="ar-SA"/>
        </w:rPr>
        <w:t>.</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7C6A24" w:rsidRDefault="007C6A24" w:rsidP="007C6A24">
      <w:pPr>
        <w:tabs>
          <w:tab w:val="left" w:pos="142"/>
          <w:tab w:val="left" w:pos="284"/>
        </w:tabs>
        <w:suppressAutoHyphens/>
        <w:snapToGrid w:val="0"/>
        <w:ind w:right="-568"/>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7C6A24" w:rsidTr="00E269EE">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30071" w:rsidRDefault="00930071" w:rsidP="00930071">
            <w:r>
              <w:rPr>
                <w:lang w:val="en-US"/>
              </w:rPr>
              <w:t>L7500</w:t>
            </w:r>
          </w:p>
        </w:tc>
        <w:tc>
          <w:tcPr>
            <w:tcW w:w="3260" w:type="dxa"/>
            <w:tcBorders>
              <w:top w:val="single" w:sz="4" w:space="0" w:color="auto"/>
              <w:left w:val="nil"/>
              <w:bottom w:val="single" w:sz="4" w:space="0" w:color="auto"/>
              <w:right w:val="single" w:sz="4" w:space="0" w:color="auto"/>
            </w:tcBorders>
            <w:shd w:val="clear" w:color="auto" w:fill="auto"/>
            <w:vAlign w:val="center"/>
          </w:tcPr>
          <w:p w:rsidR="007C6A24" w:rsidRDefault="00930071" w:rsidP="00E269EE">
            <w:r w:rsidRPr="00930071">
              <w:t>Реализация мероприятий по модернизации школьных систем образования</w:t>
            </w:r>
          </w:p>
        </w:tc>
        <w:tc>
          <w:tcPr>
            <w:tcW w:w="4961" w:type="dxa"/>
            <w:tcBorders>
              <w:top w:val="single" w:sz="4" w:space="0" w:color="auto"/>
              <w:left w:val="nil"/>
              <w:bottom w:val="single" w:sz="4" w:space="0" w:color="auto"/>
              <w:right w:val="single" w:sz="4" w:space="0" w:color="auto"/>
            </w:tcBorders>
            <w:shd w:val="clear" w:color="auto" w:fill="auto"/>
            <w:vAlign w:val="center"/>
          </w:tcPr>
          <w:p w:rsidR="007C6A24" w:rsidRDefault="00930071" w:rsidP="00E269EE">
            <w:pPr>
              <w:jc w:val="center"/>
            </w:pPr>
            <w:r w:rsidRPr="00930071">
              <w:t>По данному направлению расходов отражаются расходы в рамках основного мероприятия «Р</w:t>
            </w:r>
            <w:r>
              <w:t xml:space="preserve">азвитие инфраструктуры системы </w:t>
            </w:r>
            <w:r w:rsidRPr="00930071">
              <w:t>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реализацию мероприятий по модернизации школьных систем образования</w:t>
            </w:r>
          </w:p>
        </w:tc>
      </w:tr>
    </w:tbl>
    <w:p w:rsidR="007C6A24" w:rsidRDefault="007C6A24" w:rsidP="007C6A24">
      <w:pPr>
        <w:tabs>
          <w:tab w:val="left" w:pos="142"/>
          <w:tab w:val="left" w:pos="284"/>
        </w:tabs>
        <w:suppressAutoHyphens/>
        <w:snapToGrid w:val="0"/>
        <w:jc w:val="right"/>
        <w:rPr>
          <w:sz w:val="28"/>
          <w:szCs w:val="28"/>
          <w:lang w:eastAsia="ar-SA"/>
        </w:rPr>
      </w:pPr>
      <w:r>
        <w:rPr>
          <w:sz w:val="28"/>
          <w:szCs w:val="28"/>
          <w:lang w:eastAsia="ar-SA"/>
        </w:rPr>
        <w:t>»</w:t>
      </w:r>
    </w:p>
    <w:p w:rsidR="007C6A24" w:rsidRPr="009501C3" w:rsidRDefault="007C6A24" w:rsidP="007C6A24">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7C6A24" w:rsidRDefault="007C6A24" w:rsidP="007C6A24">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7C6A24" w:rsidRPr="00735EF7" w:rsidTr="00E269EE">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30071" w:rsidRDefault="00930071" w:rsidP="00930071">
            <w:r>
              <w:rPr>
                <w:lang w:val="en-US"/>
              </w:rPr>
              <w:t>L75</w:t>
            </w:r>
            <w:r>
              <w:t>30</w:t>
            </w:r>
          </w:p>
        </w:tc>
        <w:tc>
          <w:tcPr>
            <w:tcW w:w="3260" w:type="dxa"/>
            <w:tcBorders>
              <w:top w:val="single" w:sz="4" w:space="0" w:color="auto"/>
              <w:left w:val="nil"/>
              <w:bottom w:val="single" w:sz="4" w:space="0" w:color="auto"/>
              <w:right w:val="single" w:sz="4" w:space="0" w:color="auto"/>
            </w:tcBorders>
            <w:shd w:val="clear" w:color="auto" w:fill="auto"/>
            <w:vAlign w:val="center"/>
          </w:tcPr>
          <w:p w:rsidR="007C6A24" w:rsidRDefault="00930071" w:rsidP="00E269EE">
            <w:r w:rsidRPr="00930071">
              <w:t>Закупка и монтаж оборудования для создания «умных» спортивных площадок</w:t>
            </w:r>
          </w:p>
        </w:tc>
        <w:tc>
          <w:tcPr>
            <w:tcW w:w="4961" w:type="dxa"/>
            <w:tcBorders>
              <w:top w:val="single" w:sz="4" w:space="0" w:color="auto"/>
              <w:left w:val="nil"/>
              <w:bottom w:val="single" w:sz="4" w:space="0" w:color="auto"/>
              <w:right w:val="single" w:sz="4" w:space="0" w:color="auto"/>
            </w:tcBorders>
            <w:shd w:val="clear" w:color="auto" w:fill="auto"/>
            <w:vAlign w:val="center"/>
          </w:tcPr>
          <w:p w:rsidR="007C6A24" w:rsidRDefault="00930071" w:rsidP="00E269EE">
            <w:pPr>
              <w:jc w:val="center"/>
            </w:pPr>
            <w:r>
              <w:t>По данному направлению расходов</w:t>
            </w:r>
            <w:r w:rsidRPr="00930071">
              <w:t xml:space="preserve"> отражаются расходы в рамках структурного элемента «Развитие спортивной инфраструктуры и материально-технической базы для занятий физической культурой и массовым спортом» типа структурного элемента «Развитие физической культуры и массового спорта» муниципальной программы «Развитие физической культуры и спорта, формирование здорового образа жизни населения муниципального образования «Город Майкоп» на  Закупка и монтаж оборудования для создания «умных» спортивных площадок</w:t>
            </w:r>
          </w:p>
        </w:tc>
      </w:tr>
    </w:tbl>
    <w:p w:rsidR="007C6A24" w:rsidRDefault="00AE5EE9" w:rsidP="007C6A24">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AE5EE9" w:rsidRDefault="00AE5EE9" w:rsidP="007C6A24">
      <w:pPr>
        <w:tabs>
          <w:tab w:val="left" w:pos="142"/>
          <w:tab w:val="left" w:pos="284"/>
        </w:tabs>
        <w:suppressAutoHyphens/>
        <w:snapToGrid w:val="0"/>
        <w:ind w:right="-568"/>
        <w:jc w:val="both"/>
        <w:rPr>
          <w:sz w:val="28"/>
          <w:szCs w:val="28"/>
          <w:lang w:eastAsia="ar-SA"/>
        </w:rPr>
      </w:pPr>
      <w:r>
        <w:rPr>
          <w:sz w:val="28"/>
          <w:szCs w:val="28"/>
          <w:lang w:eastAsia="ar-SA"/>
        </w:rPr>
        <w:t>после строки:</w:t>
      </w:r>
    </w:p>
    <w:p w:rsidR="00AE5EE9" w:rsidRDefault="00AE5EE9" w:rsidP="007C6A24">
      <w:pPr>
        <w:tabs>
          <w:tab w:val="left" w:pos="142"/>
          <w:tab w:val="left" w:pos="284"/>
        </w:tabs>
        <w:suppressAutoHyphens/>
        <w:snapToGrid w:val="0"/>
        <w:ind w:right="-568"/>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AE5EE9" w:rsidTr="000753DA">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AE5EE9" w:rsidRPr="00930071" w:rsidRDefault="00AE5EE9" w:rsidP="000753DA">
            <w:r w:rsidRPr="00AE5EE9">
              <w:rPr>
                <w:lang w:val="en-US"/>
              </w:rPr>
              <w:t>6748S</w:t>
            </w:r>
          </w:p>
        </w:tc>
        <w:tc>
          <w:tcPr>
            <w:tcW w:w="3260"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r w:rsidRPr="00AE5EE9">
              <w:t>Расходы на обеспечение мероприятий по переселению граждан из аварийного жилищного фонда за счет средств местного бюджета</w:t>
            </w:r>
          </w:p>
        </w:tc>
        <w:tc>
          <w:tcPr>
            <w:tcW w:w="4961"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pPr>
              <w:jc w:val="center"/>
            </w:pPr>
            <w:r w:rsidRPr="00AE5EE9">
              <w:t xml:space="preserve">По данному направлению расходов отражаются расходы в рамках основного мероприятия «Реализация Федерального проекта «Обеспечение устойчивого сокращения непригодного для проживания жилищного фонда» подпрограммы «Переселение граждан из жилых помещений, признанных непригодными для проживания и расположенных в аварийных многоквартирных домах» муниципальной программы «Улучшение жилищных условий граждан, проживающих в муниципальном образовании «Город Майкоп» на обеспечение мероприятий по переселению граждан из </w:t>
            </w:r>
            <w:r w:rsidRPr="00AE5EE9">
              <w:lastRenderedPageBreak/>
              <w:t>аварийного жилищного фонда за счет средств местного бюджета</w:t>
            </w:r>
          </w:p>
        </w:tc>
      </w:tr>
    </w:tbl>
    <w:p w:rsidR="00AE5EE9" w:rsidRDefault="00AE5EE9" w:rsidP="00AE5EE9">
      <w:pPr>
        <w:tabs>
          <w:tab w:val="left" w:pos="142"/>
          <w:tab w:val="left" w:pos="284"/>
        </w:tabs>
        <w:suppressAutoHyphens/>
        <w:snapToGrid w:val="0"/>
        <w:ind w:right="-1"/>
        <w:jc w:val="right"/>
        <w:rPr>
          <w:sz w:val="28"/>
          <w:szCs w:val="28"/>
          <w:lang w:eastAsia="ar-SA"/>
        </w:rPr>
      </w:pPr>
      <w:r>
        <w:rPr>
          <w:sz w:val="28"/>
          <w:szCs w:val="28"/>
          <w:lang w:eastAsia="ar-SA"/>
        </w:rPr>
        <w:lastRenderedPageBreak/>
        <w:t>»</w:t>
      </w:r>
    </w:p>
    <w:p w:rsidR="00AE5EE9" w:rsidRPr="009501C3" w:rsidRDefault="00AE5EE9" w:rsidP="00AE5EE9">
      <w:pPr>
        <w:tabs>
          <w:tab w:val="left" w:pos="142"/>
          <w:tab w:val="left" w:pos="284"/>
        </w:tabs>
        <w:suppressAutoHyphens/>
        <w:snapToGrid w:val="0"/>
        <w:jc w:val="both"/>
        <w:rPr>
          <w:sz w:val="28"/>
          <w:szCs w:val="28"/>
          <w:lang w:eastAsia="ar-SA"/>
        </w:rPr>
      </w:pPr>
      <w:r>
        <w:rPr>
          <w:sz w:val="28"/>
          <w:szCs w:val="28"/>
          <w:lang w:eastAsia="ar-SA"/>
        </w:rPr>
        <w:t>добавить строки</w:t>
      </w:r>
      <w:r w:rsidRPr="009501C3">
        <w:rPr>
          <w:sz w:val="28"/>
          <w:szCs w:val="28"/>
          <w:lang w:eastAsia="ar-SA"/>
        </w:rPr>
        <w:t>:</w:t>
      </w:r>
    </w:p>
    <w:p w:rsidR="00AE5EE9" w:rsidRDefault="00AE5EE9" w:rsidP="00AE5EE9">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AE5EE9" w:rsidRPr="00735EF7" w:rsidTr="000824AD">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AE5EE9" w:rsidRPr="00AE5EE9" w:rsidRDefault="00AE5EE9" w:rsidP="00AE5EE9">
            <w:pPr>
              <w:rPr>
                <w:bCs/>
              </w:rPr>
            </w:pPr>
            <w:r w:rsidRPr="00AE5EE9">
              <w:rPr>
                <w:bCs/>
              </w:rPr>
              <w:t>97000</w:t>
            </w:r>
          </w:p>
          <w:p w:rsidR="00AE5EE9" w:rsidRPr="00AE5EE9" w:rsidRDefault="00AE5EE9" w:rsidP="000753DA"/>
        </w:tc>
        <w:tc>
          <w:tcPr>
            <w:tcW w:w="8221" w:type="dxa"/>
            <w:gridSpan w:val="2"/>
            <w:tcBorders>
              <w:top w:val="single" w:sz="4" w:space="0" w:color="auto"/>
              <w:left w:val="nil"/>
              <w:bottom w:val="single" w:sz="4" w:space="0" w:color="auto"/>
              <w:right w:val="single" w:sz="4" w:space="0" w:color="auto"/>
            </w:tcBorders>
            <w:shd w:val="clear" w:color="auto" w:fill="auto"/>
            <w:vAlign w:val="center"/>
          </w:tcPr>
          <w:p w:rsidR="00AE5EE9" w:rsidRDefault="00AE5EE9" w:rsidP="00AE5EE9">
            <w:pPr>
              <w:jc w:val="both"/>
            </w:pPr>
            <w:r w:rsidRPr="00AE5EE9">
              <w:t>Реализация мероприятий, одобренных президиумом (штабом) Правительственной комиссии по региональному развитию в Российской Федерации, источником финансового обеспечения которых являются специальные казначейские кредиты</w:t>
            </w:r>
          </w:p>
        </w:tc>
      </w:tr>
      <w:tr w:rsidR="00AE5EE9" w:rsidRPr="00735EF7" w:rsidTr="000753DA">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AE5EE9" w:rsidRPr="00930071" w:rsidRDefault="00AE5EE9" w:rsidP="000753DA">
            <w:r>
              <w:t>97003</w:t>
            </w:r>
          </w:p>
        </w:tc>
        <w:tc>
          <w:tcPr>
            <w:tcW w:w="3260"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r w:rsidRPr="00AE5EE9">
              <w:t>Реализация мероприятий, одобренных президиумом (штабом) Правительственной комиссии по региональному развитию в Российской Федерации, источником финансового обеспечения которых являются специальные казначейские кредиты (</w:t>
            </w:r>
            <w:proofErr w:type="spellStart"/>
            <w:r w:rsidRPr="00AE5EE9">
              <w:t>cубсидия</w:t>
            </w:r>
            <w:proofErr w:type="spellEnd"/>
            <w:r w:rsidRPr="00AE5EE9">
              <w:t xml:space="preserve"> МУП «Городской парк культуры и отдыха» муниципального образования «Город Майкоп» на осуществление капитальных вложений, связанных с созданием обеспечивающей инфраструктуры к бассейнам, в том числе разработка проектно-сметной документации)</w:t>
            </w:r>
          </w:p>
        </w:tc>
        <w:tc>
          <w:tcPr>
            <w:tcW w:w="4961"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pPr>
              <w:jc w:val="center"/>
            </w:pPr>
            <w:r w:rsidRPr="00AE5EE9">
              <w:t>По данному направлению расходов отражаются расходы в рамках основного мероприятия «Проведение мероприятий по благоустройству общественных территорий муниципального образования «Город Майкоп» муниципальной программы «Формирование современной городской среды в муниципальном образовании «Город Майкоп» на реализацию мероприятий, одобренных президиумом (штабом) Правительственной комиссии по региональному развитию в Российской Федерации, источником финансового обеспечения которых являются специальные казначейские кредиты (</w:t>
            </w:r>
            <w:proofErr w:type="spellStart"/>
            <w:r w:rsidRPr="00AE5EE9">
              <w:t>cубсидия</w:t>
            </w:r>
            <w:proofErr w:type="spellEnd"/>
            <w:r w:rsidRPr="00AE5EE9">
              <w:t xml:space="preserve"> МУП «Городской парк культуры и отдыха» муниципального образования «Город Майкоп» на осуществление капитальных вложений, связанных с созданием обеспечивающей инфраструктуры к бассейнам, в том числе разработка проектно-сметной документации)</w:t>
            </w:r>
          </w:p>
        </w:tc>
      </w:tr>
      <w:tr w:rsidR="00AE5EE9" w:rsidRPr="00735EF7" w:rsidTr="000753DA">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AE5EE9" w:rsidRDefault="00AE5EE9" w:rsidP="000753DA">
            <w:r>
              <w:t>97004</w:t>
            </w:r>
          </w:p>
        </w:tc>
        <w:tc>
          <w:tcPr>
            <w:tcW w:w="3260"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r w:rsidRPr="00AE5EE9">
              <w:t>Реализация мероприятий, одобренных президиумом (штабом) Правительственной комиссии по региональному развитию в Российской Федерации, источником финансового обеспечения которых являются специальные казначейские кредиты (осуществление капитальных вложений, связанных с реконструкцией бассейнов в городском парке культуры и отдыха г. Майкоп с устройством открытого водоема, водного аттракциона (аквапарка) и фонтанов, расположенных по адресу: Республика Адыгея, г. Майкоп, ул. Спортивная, 57, сооружение 1 (Этап 1))</w:t>
            </w:r>
          </w:p>
        </w:tc>
        <w:tc>
          <w:tcPr>
            <w:tcW w:w="4961" w:type="dxa"/>
            <w:tcBorders>
              <w:top w:val="single" w:sz="4" w:space="0" w:color="auto"/>
              <w:left w:val="nil"/>
              <w:bottom w:val="single" w:sz="4" w:space="0" w:color="auto"/>
              <w:right w:val="single" w:sz="4" w:space="0" w:color="auto"/>
            </w:tcBorders>
            <w:shd w:val="clear" w:color="auto" w:fill="auto"/>
            <w:vAlign w:val="center"/>
          </w:tcPr>
          <w:p w:rsidR="00AE5EE9" w:rsidRDefault="00AE5EE9" w:rsidP="000753DA">
            <w:pPr>
              <w:jc w:val="center"/>
            </w:pPr>
            <w:r w:rsidRPr="00AE5EE9">
              <w:t>По данному направлению расходов отражаются расходы в рамках основного мероприятия «Проведение мероприятий по благоустройству МУП «Городской парк культуры и отдыха» муниципальной программы «Формирование современной городской среды в муниципальном образовании «Город Майкоп» на реализация мероприятий, одобренных президиумом (штабом) Правительственной комиссии по региональному развитию в Российской Федерации, источником финансового обеспечения которых являются специальные казначейские кредиты (осуществление капитальных вложений, связанных с реконструкцией бассейнов в городском парке культуры и отдыха г. Майкоп с устройством открытого водоема, водного аттракциона (аквапарка) и фонтанов, расположенных по адресу: Республика Адыгея, г. Майкоп, ул. Спортивная, 57, сооружение 1 (этап 1))</w:t>
            </w:r>
          </w:p>
        </w:tc>
      </w:tr>
    </w:tbl>
    <w:p w:rsidR="00AE5EE9" w:rsidRDefault="00AE5EE9" w:rsidP="00AE5EE9">
      <w:pPr>
        <w:tabs>
          <w:tab w:val="left" w:pos="142"/>
          <w:tab w:val="left" w:pos="284"/>
        </w:tabs>
        <w:suppressAutoHyphens/>
        <w:snapToGrid w:val="0"/>
        <w:ind w:right="-1"/>
        <w:jc w:val="right"/>
        <w:rPr>
          <w:sz w:val="28"/>
          <w:szCs w:val="28"/>
          <w:lang w:eastAsia="ar-SA"/>
        </w:rPr>
      </w:pPr>
      <w:r>
        <w:rPr>
          <w:sz w:val="28"/>
          <w:szCs w:val="28"/>
          <w:lang w:eastAsia="ar-SA"/>
        </w:rPr>
        <w:lastRenderedPageBreak/>
        <w:t>».</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701D87" w:rsidRDefault="00701D87" w:rsidP="00F933E0">
      <w:pPr>
        <w:pStyle w:val="210"/>
        <w:jc w:val="left"/>
        <w:rPr>
          <w:b w:val="0"/>
          <w:sz w:val="28"/>
          <w:szCs w:val="28"/>
        </w:rPr>
      </w:pPr>
    </w:p>
    <w:p w:rsidR="008C4A70" w:rsidRPr="00E61782" w:rsidRDefault="00A0688C" w:rsidP="00F933E0">
      <w:pPr>
        <w:pStyle w:val="210"/>
        <w:jc w:val="left"/>
        <w:rPr>
          <w:b w:val="0"/>
          <w:sz w:val="28"/>
          <w:szCs w:val="28"/>
        </w:rPr>
      </w:pPr>
      <w:r>
        <w:rPr>
          <w:b w:val="0"/>
          <w:sz w:val="28"/>
          <w:szCs w:val="28"/>
        </w:rPr>
        <w:t>Н</w:t>
      </w:r>
      <w:r w:rsidR="00923B92">
        <w:rPr>
          <w:b w:val="0"/>
          <w:sz w:val="28"/>
          <w:szCs w:val="28"/>
        </w:rPr>
        <w:t>ачальник</w:t>
      </w:r>
      <w:r w:rsidR="0062168C">
        <w:rPr>
          <w:b w:val="0"/>
          <w:sz w:val="28"/>
          <w:szCs w:val="28"/>
        </w:rPr>
        <w:tab/>
      </w:r>
      <w:r w:rsidR="0020473C">
        <w:rPr>
          <w:b w:val="0"/>
          <w:sz w:val="28"/>
          <w:szCs w:val="28"/>
        </w:rPr>
        <w:t xml:space="preserve">          </w:t>
      </w:r>
      <w:r>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7F2717">
      <w:pgSz w:w="11906" w:h="16838"/>
      <w:pgMar w:top="1134"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1" w15:restartNumberingAfterBreak="0">
    <w:nsid w:val="78DA0AEA"/>
    <w:multiLevelType w:val="multilevel"/>
    <w:tmpl w:val="BE64A87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4C51"/>
    <w:rsid w:val="00037084"/>
    <w:rsid w:val="0004211C"/>
    <w:rsid w:val="000436FB"/>
    <w:rsid w:val="00045F98"/>
    <w:rsid w:val="00051707"/>
    <w:rsid w:val="000519F5"/>
    <w:rsid w:val="00052AB4"/>
    <w:rsid w:val="0005498F"/>
    <w:rsid w:val="000667DF"/>
    <w:rsid w:val="000670A3"/>
    <w:rsid w:val="00070243"/>
    <w:rsid w:val="000706CB"/>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4FB5"/>
    <w:rsid w:val="0018585D"/>
    <w:rsid w:val="00187EF5"/>
    <w:rsid w:val="0019077D"/>
    <w:rsid w:val="00191568"/>
    <w:rsid w:val="001A15F1"/>
    <w:rsid w:val="001A258F"/>
    <w:rsid w:val="001A3EE0"/>
    <w:rsid w:val="001A6322"/>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0D41"/>
    <w:rsid w:val="001E1DCA"/>
    <w:rsid w:val="001E64C4"/>
    <w:rsid w:val="001E6855"/>
    <w:rsid w:val="001F1ABD"/>
    <w:rsid w:val="001F3393"/>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55499"/>
    <w:rsid w:val="0026279C"/>
    <w:rsid w:val="002633F3"/>
    <w:rsid w:val="00265AF8"/>
    <w:rsid w:val="00270136"/>
    <w:rsid w:val="0027114B"/>
    <w:rsid w:val="00274366"/>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5A5"/>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4CF6"/>
    <w:rsid w:val="004464CF"/>
    <w:rsid w:val="0045625C"/>
    <w:rsid w:val="004604CA"/>
    <w:rsid w:val="00460AD9"/>
    <w:rsid w:val="00462181"/>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5972"/>
    <w:rsid w:val="00596131"/>
    <w:rsid w:val="005A06A8"/>
    <w:rsid w:val="005A1432"/>
    <w:rsid w:val="005A2F5C"/>
    <w:rsid w:val="005A3B18"/>
    <w:rsid w:val="005A4E35"/>
    <w:rsid w:val="005A5C86"/>
    <w:rsid w:val="005A7587"/>
    <w:rsid w:val="005B0DF4"/>
    <w:rsid w:val="005B2DAD"/>
    <w:rsid w:val="005B4A1E"/>
    <w:rsid w:val="005B516C"/>
    <w:rsid w:val="005B7D3B"/>
    <w:rsid w:val="005C6F12"/>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168C"/>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64B7"/>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01D87"/>
    <w:rsid w:val="00701E0E"/>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86CDC"/>
    <w:rsid w:val="007924CF"/>
    <w:rsid w:val="00794FFE"/>
    <w:rsid w:val="007A2153"/>
    <w:rsid w:val="007A3CA7"/>
    <w:rsid w:val="007A6B44"/>
    <w:rsid w:val="007A704A"/>
    <w:rsid w:val="007B03EC"/>
    <w:rsid w:val="007B4636"/>
    <w:rsid w:val="007B7A98"/>
    <w:rsid w:val="007C08A4"/>
    <w:rsid w:val="007C1F1E"/>
    <w:rsid w:val="007C3A9A"/>
    <w:rsid w:val="007C6579"/>
    <w:rsid w:val="007C6A24"/>
    <w:rsid w:val="007D0A65"/>
    <w:rsid w:val="007D27CC"/>
    <w:rsid w:val="007D2AB8"/>
    <w:rsid w:val="007D3F75"/>
    <w:rsid w:val="007D6446"/>
    <w:rsid w:val="007D7D5B"/>
    <w:rsid w:val="007E02B8"/>
    <w:rsid w:val="007E3E9F"/>
    <w:rsid w:val="007F22BD"/>
    <w:rsid w:val="007F2717"/>
    <w:rsid w:val="007F2A16"/>
    <w:rsid w:val="007F3584"/>
    <w:rsid w:val="00800D2E"/>
    <w:rsid w:val="008055BC"/>
    <w:rsid w:val="00810534"/>
    <w:rsid w:val="00812EFF"/>
    <w:rsid w:val="00813590"/>
    <w:rsid w:val="00814251"/>
    <w:rsid w:val="00815B89"/>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4194"/>
    <w:rsid w:val="008866A8"/>
    <w:rsid w:val="008914E0"/>
    <w:rsid w:val="00892646"/>
    <w:rsid w:val="008932F7"/>
    <w:rsid w:val="008949A9"/>
    <w:rsid w:val="008969DC"/>
    <w:rsid w:val="008A74BA"/>
    <w:rsid w:val="008A7549"/>
    <w:rsid w:val="008B08D3"/>
    <w:rsid w:val="008B37D6"/>
    <w:rsid w:val="008B396E"/>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0071"/>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5601"/>
    <w:rsid w:val="009E6223"/>
    <w:rsid w:val="009E6672"/>
    <w:rsid w:val="009E691F"/>
    <w:rsid w:val="009E75D6"/>
    <w:rsid w:val="009E7A33"/>
    <w:rsid w:val="009F2995"/>
    <w:rsid w:val="009F6625"/>
    <w:rsid w:val="00A03105"/>
    <w:rsid w:val="00A04C5B"/>
    <w:rsid w:val="00A0688C"/>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E5EE9"/>
    <w:rsid w:val="00AF548F"/>
    <w:rsid w:val="00AF58B8"/>
    <w:rsid w:val="00B04B45"/>
    <w:rsid w:val="00B07148"/>
    <w:rsid w:val="00B102DE"/>
    <w:rsid w:val="00B11BFC"/>
    <w:rsid w:val="00B11D95"/>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67F2B"/>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48B0"/>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67EA7"/>
    <w:rsid w:val="00C71F2B"/>
    <w:rsid w:val="00C7224F"/>
    <w:rsid w:val="00C75B62"/>
    <w:rsid w:val="00C762C1"/>
    <w:rsid w:val="00C77559"/>
    <w:rsid w:val="00C83E38"/>
    <w:rsid w:val="00C8583A"/>
    <w:rsid w:val="00C9108A"/>
    <w:rsid w:val="00C953E6"/>
    <w:rsid w:val="00CA30DA"/>
    <w:rsid w:val="00CA58AF"/>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85178"/>
    <w:rsid w:val="00D928D8"/>
    <w:rsid w:val="00D92EAD"/>
    <w:rsid w:val="00D95554"/>
    <w:rsid w:val="00D95D26"/>
    <w:rsid w:val="00DA0889"/>
    <w:rsid w:val="00DA51FB"/>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56202"/>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56BBD"/>
    <w:rsid w:val="00F6249C"/>
    <w:rsid w:val="00F71FE9"/>
    <w:rsid w:val="00F72C76"/>
    <w:rsid w:val="00F73BC4"/>
    <w:rsid w:val="00F73FFD"/>
    <w:rsid w:val="00F74E69"/>
    <w:rsid w:val="00F75069"/>
    <w:rsid w:val="00F75109"/>
    <w:rsid w:val="00F81BBC"/>
    <w:rsid w:val="00F846FF"/>
    <w:rsid w:val="00F85F83"/>
    <w:rsid w:val="00F86ABE"/>
    <w:rsid w:val="00F933E0"/>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 w:val="00FF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081042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37794579">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521027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3810A-6692-419A-9377-E70F1325B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7449</TotalTime>
  <Pages>4</Pages>
  <Words>1196</Words>
  <Characters>6820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765</cp:revision>
  <cp:lastPrinted>2025-05-26T07:46:00Z</cp:lastPrinted>
  <dcterms:created xsi:type="dcterms:W3CDTF">2015-12-17T11:19:00Z</dcterms:created>
  <dcterms:modified xsi:type="dcterms:W3CDTF">2025-05-26T07:47:00Z</dcterms:modified>
</cp:coreProperties>
</file>